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91" w:rsidRPr="00633291" w:rsidRDefault="00633291" w:rsidP="00633291">
      <w:pPr>
        <w:shd w:val="clear" w:color="auto" w:fill="FFFFFF"/>
        <w:spacing w:after="0" w:line="240" w:lineRule="auto"/>
        <w:rPr>
          <w:rFonts w:ascii="Baskerville" w:hAnsi="Baskerville"/>
          <w:sz w:val="28"/>
          <w:szCs w:val="24"/>
        </w:rPr>
      </w:pPr>
      <w:r w:rsidRPr="00633291">
        <w:rPr>
          <w:rFonts w:ascii="Baskerville" w:hAnsi="Baskerville"/>
          <w:sz w:val="28"/>
          <w:szCs w:val="24"/>
        </w:rPr>
        <w:t xml:space="preserve">André </w:t>
      </w:r>
      <w:r w:rsidRPr="00633291">
        <w:rPr>
          <w:rFonts w:ascii="Baskerville" w:hAnsi="Baskerville"/>
          <w:smallCaps/>
          <w:sz w:val="28"/>
          <w:szCs w:val="24"/>
        </w:rPr>
        <w:t>Gallet</w:t>
      </w:r>
    </w:p>
    <w:p w:rsidR="00633291" w:rsidRPr="00633291" w:rsidRDefault="00633291" w:rsidP="00633291">
      <w:pPr>
        <w:shd w:val="clear" w:color="auto" w:fill="FFFFFF"/>
        <w:spacing w:after="0" w:line="360" w:lineRule="auto"/>
        <w:ind w:firstLine="708"/>
        <w:rPr>
          <w:rFonts w:ascii="Baskerville" w:hAnsi="Baskerville"/>
          <w:i/>
          <w:color w:val="000000"/>
          <w:sz w:val="24"/>
          <w:szCs w:val="24"/>
        </w:rPr>
      </w:pPr>
      <w:r w:rsidRPr="00633291">
        <w:rPr>
          <w:rFonts w:ascii="Baskerville" w:hAnsi="Baskerville"/>
          <w:color w:val="000000"/>
          <w:sz w:val="24"/>
          <w:szCs w:val="24"/>
        </w:rPr>
        <w:t>L’analyse de Montaigne</w:t>
      </w:r>
      <w:r w:rsidRPr="00633291">
        <w:rPr>
          <w:rFonts w:ascii="Baskerville" w:hAnsi="Baskerville"/>
          <w:smallCaps/>
          <w:color w:val="000000"/>
          <w:sz w:val="24"/>
          <w:szCs w:val="24"/>
        </w:rPr>
        <w:t xml:space="preserve"> </w:t>
      </w:r>
    </w:p>
    <w:p w:rsidR="00633291" w:rsidRPr="00633291" w:rsidRDefault="00633291" w:rsidP="00633291">
      <w:pPr>
        <w:shd w:val="clear" w:color="auto" w:fill="FFFFFF"/>
        <w:spacing w:after="0" w:line="240" w:lineRule="auto"/>
        <w:jc w:val="both"/>
        <w:rPr>
          <w:rFonts w:ascii="Baskerville" w:hAnsi="Baskerville"/>
          <w:color w:val="000000"/>
          <w:sz w:val="24"/>
          <w:szCs w:val="24"/>
        </w:rPr>
      </w:pPr>
    </w:p>
    <w:p w:rsidR="00633291" w:rsidRPr="00633291" w:rsidRDefault="00633291" w:rsidP="00633291">
      <w:pPr>
        <w:pStyle w:val="Sansinterligne"/>
        <w:jc w:val="both"/>
        <w:rPr>
          <w:rFonts w:ascii="Baskerville" w:hAnsi="Baskerville"/>
          <w:sz w:val="22"/>
        </w:rPr>
      </w:pPr>
      <w:r w:rsidRPr="00633291">
        <w:rPr>
          <w:rFonts w:ascii="Baskerville" w:hAnsi="Baskerville"/>
          <w:smallCaps/>
          <w:color w:val="000000"/>
          <w:sz w:val="22"/>
        </w:rPr>
        <w:t>Résumé</w:t>
      </w:r>
      <w:r w:rsidRPr="00633291">
        <w:rPr>
          <w:rFonts w:ascii="Baskerville" w:hAnsi="Baskerville"/>
          <w:color w:val="000000"/>
          <w:sz w:val="22"/>
        </w:rPr>
        <w:t xml:space="preserve">. – </w:t>
      </w:r>
      <w:r w:rsidRPr="00633291">
        <w:rPr>
          <w:rFonts w:ascii="Baskerville" w:hAnsi="Baskerville"/>
          <w:sz w:val="22"/>
        </w:rPr>
        <w:t xml:space="preserve">Il y a loin de la tragédie de la Saint-Barthélemy et de son retentissement dans le </w:t>
      </w:r>
      <w:r w:rsidRPr="00633291">
        <w:rPr>
          <w:rFonts w:ascii="Baskerville" w:hAnsi="Baskerville"/>
          <w:i/>
          <w:sz w:val="22"/>
        </w:rPr>
        <w:t>Discours de la servitude volontaire</w:t>
      </w:r>
      <w:r w:rsidRPr="00633291">
        <w:rPr>
          <w:rFonts w:ascii="Baskerville" w:hAnsi="Baskerville"/>
          <w:sz w:val="22"/>
        </w:rPr>
        <w:t xml:space="preserve"> de La Boetie à ce que retrace de ce même discours Montaigne dans le chapitre </w:t>
      </w:r>
      <w:r w:rsidRPr="00633291">
        <w:rPr>
          <w:rFonts w:ascii="Baskerville" w:hAnsi="Baskerville"/>
          <w:i/>
          <w:sz w:val="22"/>
        </w:rPr>
        <w:t>L’amitié</w:t>
      </w:r>
      <w:r w:rsidRPr="00633291">
        <w:rPr>
          <w:rFonts w:ascii="Baskerville" w:hAnsi="Baskerville"/>
          <w:sz w:val="22"/>
        </w:rPr>
        <w:t xml:space="preserve">. Cet apaisement est déchiffré comme l’axe même de l’analyse de Montaigne, laquelle vient à correspondre avec la </w:t>
      </w:r>
      <w:r w:rsidRPr="00633291">
        <w:rPr>
          <w:rFonts w:ascii="Baskerville" w:hAnsi="Baskerville"/>
          <w:i/>
          <w:sz w:val="22"/>
        </w:rPr>
        <w:t>Loy d’oubliance</w:t>
      </w:r>
      <w:r w:rsidRPr="00633291">
        <w:rPr>
          <w:rFonts w:ascii="Baskerville" w:hAnsi="Baskerville"/>
          <w:sz w:val="22"/>
        </w:rPr>
        <w:t xml:space="preserve"> promulguée à l’époque face aux troubles : cette analyse fut aussi celle de Henry de Mesmes qui la formule à la suite de son exemplaire du </w:t>
      </w:r>
      <w:r w:rsidRPr="00633291">
        <w:rPr>
          <w:rFonts w:ascii="Baskerville" w:hAnsi="Baskerville"/>
          <w:i/>
          <w:sz w:val="22"/>
        </w:rPr>
        <w:t>Discours</w:t>
      </w:r>
      <w:r w:rsidRPr="00633291">
        <w:rPr>
          <w:rFonts w:ascii="Baskerville" w:hAnsi="Baskerville"/>
          <w:sz w:val="22"/>
        </w:rPr>
        <w:t xml:space="preserve"> de La Boétie. L’analyse, ici, procède d’une dissolution.</w:t>
      </w:r>
      <w:bookmarkStart w:id="0" w:name="_GoBack"/>
      <w:bookmarkEnd w:id="0"/>
    </w:p>
    <w:p w:rsidR="00633291" w:rsidRPr="00633291" w:rsidRDefault="00633291" w:rsidP="00633291">
      <w:pPr>
        <w:pStyle w:val="Sansinterligne"/>
        <w:jc w:val="both"/>
        <w:rPr>
          <w:rFonts w:ascii="Baskerville" w:hAnsi="Baskerville"/>
          <w:sz w:val="22"/>
        </w:rPr>
      </w:pPr>
    </w:p>
    <w:p w:rsidR="00633291" w:rsidRPr="00633291" w:rsidRDefault="00633291" w:rsidP="00633291">
      <w:pPr>
        <w:shd w:val="clear" w:color="auto" w:fill="FFFFFF"/>
        <w:spacing w:after="0" w:line="240" w:lineRule="auto"/>
        <w:jc w:val="both"/>
        <w:rPr>
          <w:rFonts w:ascii="Baskerville" w:hAnsi="Baskerville"/>
          <w:color w:val="000000"/>
          <w:szCs w:val="24"/>
        </w:rPr>
      </w:pPr>
      <w:r w:rsidRPr="00633291">
        <w:rPr>
          <w:rFonts w:ascii="Baskerville" w:hAnsi="Baskerville"/>
          <w:smallCaps/>
        </w:rPr>
        <w:t>Abstract</w:t>
      </w:r>
      <w:r w:rsidRPr="00633291">
        <w:rPr>
          <w:rFonts w:ascii="Baskerville" w:hAnsi="Baskerville"/>
        </w:rPr>
        <w:t xml:space="preserve">. </w:t>
      </w:r>
      <w:r w:rsidRPr="00633291">
        <w:rPr>
          <w:rFonts w:ascii="Baskerville" w:hAnsi="Baskerville"/>
          <w:color w:val="000000"/>
          <w:szCs w:val="24"/>
        </w:rPr>
        <w:t xml:space="preserve">– </w:t>
      </w:r>
      <w:r w:rsidRPr="00633291">
        <w:rPr>
          <w:rFonts w:ascii="Baskerville" w:hAnsi="Baskerville"/>
        </w:rPr>
        <w:t xml:space="preserve">There is a big difference between the tragedy of the Sainte-Barthelemy in La Boetie’s </w:t>
      </w:r>
      <w:r w:rsidRPr="00633291">
        <w:rPr>
          <w:rFonts w:ascii="Baskerville" w:hAnsi="Baskerville"/>
          <w:i/>
        </w:rPr>
        <w:t>Discours de la servitude volontaire</w:t>
      </w:r>
      <w:r w:rsidRPr="00633291">
        <w:rPr>
          <w:rFonts w:ascii="Baskerville" w:hAnsi="Baskerville"/>
        </w:rPr>
        <w:t xml:space="preserve"> and what Montaigne says about this event in his chapter </w:t>
      </w:r>
      <w:r w:rsidRPr="00633291">
        <w:rPr>
          <w:rFonts w:ascii="Baskerville" w:hAnsi="Baskerville"/>
          <w:i/>
        </w:rPr>
        <w:t>L’Amitié</w:t>
      </w:r>
      <w:r w:rsidRPr="00633291">
        <w:rPr>
          <w:rFonts w:ascii="Baskerville" w:hAnsi="Baskerville"/>
        </w:rPr>
        <w:t xml:space="preserve">. This apeasment can be seen as the axis of Montaigne’s analysis, which is linked to the « Loy d’oubliance » promulgated because of the riots : this analysis was also the one of Henry de Mesmes, who writes it in his exemplary of La Boetie’s </w:t>
      </w:r>
      <w:r w:rsidRPr="00633291">
        <w:rPr>
          <w:rFonts w:ascii="Baskerville" w:hAnsi="Baskerville"/>
          <w:i/>
        </w:rPr>
        <w:t>Discours</w:t>
      </w:r>
      <w:r w:rsidRPr="00633291">
        <w:rPr>
          <w:rFonts w:ascii="Baskerville" w:hAnsi="Baskerville"/>
        </w:rPr>
        <w:t>. Here, the analysis is the consequence of a dissolution.</w:t>
      </w:r>
    </w:p>
    <w:p w:rsidR="00657923" w:rsidRDefault="00633291"/>
    <w:sectPr w:rsidR="00657923" w:rsidSect="0065792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3291"/>
    <w:rsid w:val="006332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6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91"/>
    <w:pPr>
      <w:spacing w:after="200" w:line="276" w:lineRule="auto"/>
    </w:pPr>
    <w:rPr>
      <w:rFonts w:ascii="Calibri" w:eastAsia="Calibri" w:hAnsi="Calibri" w:cs="Times New Roman"/>
      <w:sz w:val="22"/>
      <w:szCs w:val="22"/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Sansinterligne">
    <w:name w:val="No Spacing"/>
    <w:uiPriority w:val="68"/>
    <w:qFormat/>
    <w:rsid w:val="00633291"/>
    <w:rPr>
      <w:rFonts w:ascii="Times New Roman" w:hAnsi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Flamerie</dc:creator>
  <cp:keywords/>
  <cp:lastModifiedBy>Guillaume Flamerie</cp:lastModifiedBy>
  <cp:revision>1</cp:revision>
  <dcterms:created xsi:type="dcterms:W3CDTF">2012-10-31T23:07:00Z</dcterms:created>
  <dcterms:modified xsi:type="dcterms:W3CDTF">2012-10-31T23:08:00Z</dcterms:modified>
</cp:coreProperties>
</file>