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73" w:rsidRPr="00912E7C" w:rsidRDefault="00D94E73" w:rsidP="002242D8">
      <w:pPr>
        <w:jc w:val="both"/>
        <w:rPr>
          <w:rFonts w:ascii="Baskerville" w:hAnsi="Baskerville"/>
          <w:bCs/>
          <w:sz w:val="28"/>
          <w:szCs w:val="28"/>
        </w:rPr>
      </w:pPr>
      <w:r w:rsidRPr="00912E7C">
        <w:rPr>
          <w:rFonts w:ascii="Baskerville" w:hAnsi="Baskerville"/>
          <w:bCs/>
          <w:sz w:val="28"/>
          <w:szCs w:val="28"/>
        </w:rPr>
        <w:t xml:space="preserve">Jacques </w:t>
      </w:r>
      <w:r w:rsidRPr="00912E7C">
        <w:rPr>
          <w:rFonts w:ascii="Baskerville" w:hAnsi="Baskerville"/>
          <w:bCs/>
          <w:smallCaps/>
          <w:sz w:val="28"/>
          <w:szCs w:val="28"/>
        </w:rPr>
        <w:t>Halbronn</w:t>
      </w:r>
    </w:p>
    <w:p w:rsidR="00D94E73" w:rsidRPr="002242D8" w:rsidRDefault="00D94E73" w:rsidP="00545B84">
      <w:pPr>
        <w:ind w:firstLine="708"/>
        <w:jc w:val="both"/>
        <w:rPr>
          <w:rFonts w:ascii="Baskerville" w:hAnsi="Baskerville"/>
          <w:bCs/>
          <w:szCs w:val="28"/>
        </w:rPr>
      </w:pPr>
      <w:r w:rsidRPr="002242D8">
        <w:rPr>
          <w:rFonts w:ascii="Baskerville" w:hAnsi="Baskerville"/>
          <w:bCs/>
          <w:szCs w:val="32"/>
        </w:rPr>
        <w:t>Recherches autour de l’édition française</w:t>
      </w:r>
      <w:r w:rsidRPr="002242D8">
        <w:rPr>
          <w:rFonts w:ascii="Baskerville" w:hAnsi="Baskerville"/>
          <w:bCs/>
          <w:szCs w:val="28"/>
        </w:rPr>
        <w:t xml:space="preserve"> </w:t>
      </w:r>
      <w:r w:rsidRPr="002242D8">
        <w:rPr>
          <w:rFonts w:ascii="Baskerville" w:hAnsi="Baskerville"/>
          <w:bCs/>
          <w:szCs w:val="32"/>
        </w:rPr>
        <w:t xml:space="preserve">du </w:t>
      </w:r>
      <w:r w:rsidRPr="002242D8">
        <w:rPr>
          <w:rFonts w:ascii="Baskerville" w:hAnsi="Baskerville"/>
          <w:bCs/>
          <w:i/>
          <w:iCs/>
          <w:szCs w:val="32"/>
        </w:rPr>
        <w:t>Splendor Solis</w:t>
      </w:r>
      <w:r w:rsidRPr="002242D8">
        <w:rPr>
          <w:rFonts w:ascii="Baskerville" w:hAnsi="Baskerville"/>
          <w:bCs/>
          <w:szCs w:val="32"/>
        </w:rPr>
        <w:t xml:space="preserve"> (1612)</w:t>
      </w:r>
    </w:p>
    <w:p w:rsidR="009A462A" w:rsidRDefault="009A462A" w:rsidP="002242D8">
      <w:pPr>
        <w:jc w:val="both"/>
        <w:rPr>
          <w:rFonts w:ascii="Baskerville" w:hAnsi="Baskerville"/>
        </w:rPr>
      </w:pPr>
    </w:p>
    <w:p w:rsidR="00D94E73" w:rsidRPr="002242D8" w:rsidRDefault="00D94E73" w:rsidP="002242D8">
      <w:pPr>
        <w:jc w:val="both"/>
        <w:rPr>
          <w:rFonts w:ascii="Baskerville" w:hAnsi="Baskerville"/>
        </w:rPr>
      </w:pPr>
    </w:p>
    <w:p w:rsidR="00D94E73" w:rsidRPr="002242D8" w:rsidRDefault="00D94E73" w:rsidP="002242D8">
      <w:pPr>
        <w:jc w:val="both"/>
        <w:rPr>
          <w:rFonts w:ascii="Baskerville" w:hAnsi="Baskerville"/>
          <w:sz w:val="22"/>
          <w:szCs w:val="22"/>
        </w:rPr>
      </w:pPr>
      <w:r w:rsidRPr="002242D8">
        <w:rPr>
          <w:rFonts w:ascii="Baskerville" w:hAnsi="Baskerville"/>
          <w:bCs/>
          <w:smallCaps/>
          <w:sz w:val="22"/>
        </w:rPr>
        <w:t>Résumé</w:t>
      </w:r>
      <w:r w:rsidRPr="002242D8">
        <w:rPr>
          <w:rFonts w:ascii="Baskerville" w:hAnsi="Baskerville"/>
          <w:bCs/>
          <w:sz w:val="22"/>
        </w:rPr>
        <w:t xml:space="preserve">. – </w:t>
      </w:r>
      <w:r w:rsidRPr="002242D8">
        <w:rPr>
          <w:rFonts w:ascii="Baskerville" w:hAnsi="Baskerville"/>
          <w:iCs/>
          <w:sz w:val="22"/>
          <w:szCs w:val="22"/>
        </w:rPr>
        <w:t xml:space="preserve">Après avoir reconsidéré la chronologie relative au corpus Nostradamus dans le précédent numéro de cette Revue, nous appliquerons notre méthodologie à un corpus très connu de la littérature alchimique lié à la Toison d’Or </w:t>
      </w:r>
      <w:r w:rsidRPr="002242D8">
        <w:rPr>
          <w:rFonts w:ascii="Baskerville" w:hAnsi="Baskerville"/>
          <w:sz w:val="22"/>
          <w:szCs w:val="22"/>
        </w:rPr>
        <w:t>(</w:t>
      </w:r>
      <w:r w:rsidRPr="002242D8">
        <w:rPr>
          <w:rFonts w:ascii="Baskerville" w:hAnsi="Baskerville"/>
          <w:i/>
          <w:sz w:val="22"/>
          <w:szCs w:val="22"/>
        </w:rPr>
        <w:t>Aureum Vellus</w:t>
      </w:r>
      <w:r w:rsidRPr="002242D8">
        <w:rPr>
          <w:rFonts w:ascii="Baskerville" w:hAnsi="Baskerville"/>
          <w:sz w:val="22"/>
          <w:szCs w:val="22"/>
        </w:rPr>
        <w:t>)</w:t>
      </w:r>
      <w:r w:rsidRPr="002242D8">
        <w:rPr>
          <w:rFonts w:ascii="Baskerville" w:hAnsi="Baskerville"/>
          <w:iCs/>
          <w:sz w:val="22"/>
          <w:szCs w:val="22"/>
        </w:rPr>
        <w:t xml:space="preserve">, à savoir le </w:t>
      </w:r>
      <w:r w:rsidRPr="002242D8">
        <w:rPr>
          <w:rFonts w:ascii="Baskerville" w:hAnsi="Baskerville"/>
          <w:i/>
          <w:sz w:val="22"/>
          <w:szCs w:val="22"/>
        </w:rPr>
        <w:t>Splendor Solis</w:t>
      </w:r>
      <w:r w:rsidRPr="002242D8">
        <w:rPr>
          <w:rFonts w:ascii="Baskerville" w:hAnsi="Baskerville"/>
          <w:iCs/>
          <w:sz w:val="22"/>
          <w:szCs w:val="22"/>
        </w:rPr>
        <w:t xml:space="preserve">. La carrière et la fortune de cette œuvre passent par un entrelacs d’imprimés et de manuscrits enluminés, de traductions et de recyclages, d’additions et de suppressions, de documents antidatés et d’autres postdatés. Nous parviendrons de la sorte à une nouvelle chronologie, qui fera certainement débat. Dans les deux cas, ces corpus se situent à la charnière entre les </w:t>
      </w:r>
      <w:r w:rsidRPr="002242D8">
        <w:rPr>
          <w:rFonts w:ascii="Baskerville" w:hAnsi="Baskerville"/>
          <w:iCs/>
          <w:smallCaps/>
          <w:sz w:val="22"/>
          <w:szCs w:val="22"/>
        </w:rPr>
        <w:t>xvi</w:t>
      </w:r>
      <w:r w:rsidRPr="002242D8">
        <w:rPr>
          <w:rFonts w:ascii="Baskerville" w:hAnsi="Baskerville"/>
          <w:iCs/>
          <w:sz w:val="22"/>
          <w:szCs w:val="22"/>
          <w:vertAlign w:val="superscript"/>
        </w:rPr>
        <w:t>e</w:t>
      </w:r>
      <w:r w:rsidRPr="002242D8">
        <w:rPr>
          <w:rFonts w:ascii="Baskerville" w:hAnsi="Baskerville"/>
          <w:iCs/>
          <w:sz w:val="22"/>
          <w:szCs w:val="22"/>
        </w:rPr>
        <w:t xml:space="preserve"> et </w:t>
      </w:r>
      <w:r w:rsidRPr="002242D8">
        <w:rPr>
          <w:rFonts w:ascii="Baskerville" w:hAnsi="Baskerville"/>
          <w:iCs/>
          <w:smallCaps/>
          <w:sz w:val="22"/>
          <w:szCs w:val="22"/>
        </w:rPr>
        <w:t>xvii</w:t>
      </w:r>
      <w:r w:rsidRPr="002242D8">
        <w:rPr>
          <w:rFonts w:ascii="Baskerville" w:hAnsi="Baskerville"/>
          <w:iCs/>
          <w:sz w:val="22"/>
          <w:szCs w:val="22"/>
          <w:vertAlign w:val="superscript"/>
        </w:rPr>
        <w:t>e</w:t>
      </w:r>
      <w:r w:rsidRPr="002242D8">
        <w:rPr>
          <w:rFonts w:ascii="Baskerville" w:hAnsi="Baskerville"/>
          <w:iCs/>
          <w:sz w:val="22"/>
          <w:szCs w:val="22"/>
        </w:rPr>
        <w:t xml:space="preserve"> siècles</w:t>
      </w:r>
      <w:r w:rsidRPr="002242D8">
        <w:rPr>
          <w:rFonts w:ascii="Baskerville" w:hAnsi="Baskerville"/>
          <w:sz w:val="22"/>
          <w:szCs w:val="22"/>
        </w:rPr>
        <w:t>.</w:t>
      </w:r>
    </w:p>
    <w:p w:rsidR="00D94E73" w:rsidRPr="002242D8" w:rsidRDefault="00D94E73" w:rsidP="002242D8">
      <w:pPr>
        <w:jc w:val="both"/>
        <w:rPr>
          <w:rFonts w:ascii="Baskerville" w:hAnsi="Baskerville"/>
        </w:rPr>
      </w:pPr>
    </w:p>
    <w:p w:rsidR="001C5DF2" w:rsidRPr="002242D8" w:rsidRDefault="00D94E73" w:rsidP="002242D8">
      <w:pPr>
        <w:jc w:val="both"/>
        <w:rPr>
          <w:rFonts w:ascii="Baskerville" w:hAnsi="Baskerville"/>
          <w:iCs/>
          <w:sz w:val="22"/>
          <w:szCs w:val="22"/>
        </w:rPr>
      </w:pPr>
      <w:r w:rsidRPr="002242D8">
        <w:rPr>
          <w:rFonts w:ascii="Baskerville" w:hAnsi="Baskerville"/>
          <w:bCs/>
          <w:smallCaps/>
          <w:sz w:val="22"/>
        </w:rPr>
        <w:t>Abstract</w:t>
      </w:r>
      <w:r w:rsidRPr="002242D8">
        <w:rPr>
          <w:rFonts w:ascii="Baskerville" w:hAnsi="Baskerville"/>
          <w:bCs/>
          <w:sz w:val="22"/>
        </w:rPr>
        <w:t xml:space="preserve">. – </w:t>
      </w:r>
      <w:r w:rsidRPr="002242D8">
        <w:rPr>
          <w:rFonts w:ascii="Baskerville" w:hAnsi="Baskerville"/>
          <w:iCs/>
          <w:sz w:val="22"/>
          <w:szCs w:val="22"/>
        </w:rPr>
        <w:t>Following our reappreciation of the Nostradamus corpus, as exposed in the previous copy of this Revue, we shall address, this time, our methodology to quite a famous piece, due mainly to its drawings, belonging to the alchemical literature, associated with the Golden Fleece (</w:t>
      </w:r>
      <w:r w:rsidRPr="002242D8">
        <w:rPr>
          <w:rFonts w:ascii="Baskerville" w:hAnsi="Baskerville"/>
          <w:i/>
          <w:sz w:val="22"/>
          <w:szCs w:val="22"/>
        </w:rPr>
        <w:t>Aureum Vellus</w:t>
      </w:r>
      <w:r w:rsidRPr="002242D8">
        <w:rPr>
          <w:rFonts w:ascii="Baskerville" w:hAnsi="Baskerville"/>
          <w:iCs/>
          <w:sz w:val="22"/>
          <w:szCs w:val="22"/>
        </w:rPr>
        <w:t xml:space="preserve">), the so called </w:t>
      </w:r>
      <w:r w:rsidRPr="002242D8">
        <w:rPr>
          <w:rFonts w:ascii="Baskerville" w:hAnsi="Baskerville"/>
          <w:i/>
          <w:sz w:val="22"/>
          <w:szCs w:val="22"/>
        </w:rPr>
        <w:t>Splendor Solis</w:t>
      </w:r>
      <w:r w:rsidRPr="002242D8">
        <w:rPr>
          <w:rFonts w:ascii="Baskerville" w:hAnsi="Baskerville"/>
          <w:iCs/>
          <w:sz w:val="22"/>
          <w:szCs w:val="22"/>
        </w:rPr>
        <w:t>. The fortune of this work is manifested through an intricated puzzle of prints and manuscripts, texts and images, translations, additions, suppressions, losses, with dubious indications of time. Therefore, we hope that we have achieved the constitution of a new chronolology which certainly will, once more, open a passionate debate between specialists of the XVIth and XVIIth Centuries’esoteric studies.</w:t>
      </w:r>
    </w:p>
    <w:p w:rsidR="001C5DF2" w:rsidRPr="002242D8" w:rsidRDefault="001C5DF2" w:rsidP="002242D8">
      <w:pPr>
        <w:jc w:val="both"/>
        <w:rPr>
          <w:rFonts w:ascii="Baskerville" w:hAnsi="Baskerville"/>
          <w:iCs/>
          <w:sz w:val="22"/>
          <w:szCs w:val="22"/>
        </w:rPr>
      </w:pPr>
    </w:p>
    <w:p w:rsidR="002C375D" w:rsidRPr="002242D8" w:rsidRDefault="002C375D" w:rsidP="002242D8">
      <w:pPr>
        <w:jc w:val="both"/>
        <w:rPr>
          <w:rFonts w:ascii="Baskerville" w:hAnsi="Baskerville"/>
          <w:iCs/>
          <w:sz w:val="22"/>
          <w:szCs w:val="22"/>
        </w:rPr>
      </w:pPr>
    </w:p>
    <w:p w:rsidR="00657923" w:rsidRPr="002242D8" w:rsidRDefault="009A462A" w:rsidP="002242D8">
      <w:pPr>
        <w:jc w:val="both"/>
        <w:rPr>
          <w:rFonts w:ascii="Baskerville" w:hAnsi="Baskerville"/>
        </w:rPr>
      </w:pPr>
    </w:p>
    <w:sectPr w:rsidR="00657923" w:rsidRPr="002242D8"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4E73"/>
    <w:rsid w:val="00010830"/>
    <w:rsid w:val="000E4F35"/>
    <w:rsid w:val="00151393"/>
    <w:rsid w:val="001C5DF2"/>
    <w:rsid w:val="002242D8"/>
    <w:rsid w:val="00283EAB"/>
    <w:rsid w:val="002B461F"/>
    <w:rsid w:val="002C375D"/>
    <w:rsid w:val="002F2742"/>
    <w:rsid w:val="003069A2"/>
    <w:rsid w:val="00545B84"/>
    <w:rsid w:val="00912E7C"/>
    <w:rsid w:val="009A462A"/>
    <w:rsid w:val="00B37022"/>
    <w:rsid w:val="00D64C8A"/>
    <w:rsid w:val="00D94E73"/>
    <w:rsid w:val="00DD4C43"/>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73"/>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Macintosh Word</Application>
  <DocSecurity>0</DocSecurity>
  <Lines>10</Lines>
  <Paragraphs>2</Paragraphs>
  <ScaleCrop>false</ScaleCrop>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9</cp:revision>
  <dcterms:created xsi:type="dcterms:W3CDTF">2012-10-31T22:47:00Z</dcterms:created>
  <dcterms:modified xsi:type="dcterms:W3CDTF">2012-10-31T23:11:00Z</dcterms:modified>
</cp:coreProperties>
</file>