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C6" w:rsidRDefault="005E16C6" w:rsidP="005E16C6">
      <w:pPr>
        <w:pStyle w:val="Sansinterligne"/>
        <w:spacing w:line="360" w:lineRule="auto"/>
        <w:ind w:firstLine="708"/>
        <w:jc w:val="both"/>
      </w:pPr>
      <w:r>
        <w:t xml:space="preserve">Les auteurs feront parvenir leur article sous la forme d’un fichier joint à un courriel à M. Guillaume </w:t>
      </w:r>
      <w:r w:rsidRPr="00F63F16">
        <w:rPr>
          <w:smallCaps/>
        </w:rPr>
        <w:t>Flamerie</w:t>
      </w:r>
      <w:r>
        <w:t xml:space="preserve"> de </w:t>
      </w:r>
      <w:r w:rsidRPr="00F63F16">
        <w:rPr>
          <w:smallCaps/>
        </w:rPr>
        <w:t>Lachapelle</w:t>
      </w:r>
      <w:r>
        <w:t xml:space="preserve"> (</w:t>
      </w:r>
      <w:hyperlink r:id="rId4" w:history="1">
        <w:r w:rsidRPr="0039220C">
          <w:rPr>
            <w:rStyle w:val="Lienhypertexte"/>
          </w:rPr>
          <w:t>gflameriedel@u-bordeaux3.fr</w:t>
        </w:r>
      </w:hyperlink>
      <w:r>
        <w:t>).</w:t>
      </w:r>
    </w:p>
    <w:p w:rsidR="0072077F" w:rsidRDefault="005E16C6" w:rsidP="005E16C6">
      <w:pPr>
        <w:pStyle w:val="Sansinterligne"/>
        <w:spacing w:line="360" w:lineRule="auto"/>
        <w:jc w:val="both"/>
      </w:pPr>
      <w:r>
        <w:tab/>
        <w:t xml:space="preserve">Ils joindront à l’article un résumé en français et un autre en anglais (maximum </w:t>
      </w:r>
      <w:r w:rsidRPr="005E16C6">
        <w:rPr>
          <w:b/>
        </w:rPr>
        <w:t>1 000 signes</w:t>
      </w:r>
      <w:r>
        <w:t xml:space="preserve"> pour chacun des deux résumés, </w:t>
      </w:r>
      <w:r w:rsidRPr="005E16C6">
        <w:rPr>
          <w:b/>
        </w:rPr>
        <w:t>espaces compris</w:t>
      </w:r>
      <w:r>
        <w:t>).</w:t>
      </w:r>
      <w:r w:rsidR="00590026">
        <w:t xml:space="preserve"> </w:t>
      </w:r>
      <w:r>
        <w:t xml:space="preserve">Les articles ne dépasseront pas, sauf </w:t>
      </w:r>
      <w:r w:rsidR="005B16D3">
        <w:t>accord préalable</w:t>
      </w:r>
      <w:r>
        <w:t xml:space="preserve">, </w:t>
      </w:r>
      <w:r w:rsidRPr="00AB3664">
        <w:rPr>
          <w:b/>
        </w:rPr>
        <w:t>55 000 signes</w:t>
      </w:r>
      <w:r>
        <w:t xml:space="preserve"> (</w:t>
      </w:r>
      <w:r w:rsidRPr="005E16C6">
        <w:rPr>
          <w:b/>
        </w:rPr>
        <w:t>espaces et notes compris</w:t>
      </w:r>
      <w:r>
        <w:rPr>
          <w:b/>
        </w:rPr>
        <w:t> </w:t>
      </w:r>
      <w:r w:rsidRPr="005E16C6">
        <w:t>: dans l’onglet « outils », aller à « statistiques », ne pas oublier de cocher la case : « inclure les notes dans le calcul »</w:t>
      </w:r>
      <w:r>
        <w:t xml:space="preserve">). </w:t>
      </w:r>
    </w:p>
    <w:p w:rsidR="00BE4F07" w:rsidRDefault="005E16C6" w:rsidP="00C2368E">
      <w:pPr>
        <w:pStyle w:val="Sansinterligne"/>
        <w:spacing w:line="360" w:lineRule="auto"/>
        <w:ind w:firstLine="708"/>
        <w:jc w:val="both"/>
      </w:pPr>
      <w:r>
        <w:t xml:space="preserve">L’auteur fournit les clichés des illustrations éventuelles, en s’assurant le cas échéant des autorisations de publication des ayants droit. </w:t>
      </w:r>
      <w:r w:rsidR="00FB14E7">
        <w:t>Chaque illustration est jointe à l’article sous forme d’un fichier</w:t>
      </w:r>
      <w:r w:rsidR="008950BC">
        <w:t xml:space="preserve"> informatique</w:t>
      </w:r>
      <w:r w:rsidR="00FB14E7">
        <w:t xml:space="preserve"> indépendant</w:t>
      </w:r>
      <w:r w:rsidR="00447067">
        <w:t xml:space="preserve"> (format .jpg de préférence)</w:t>
      </w:r>
      <w:r w:rsidR="00FB14E7">
        <w:t xml:space="preserve">, avec pour titre : fig. 1, fig. 2, fig. 3, etc. </w:t>
      </w:r>
    </w:p>
    <w:p w:rsidR="005E16C6" w:rsidRDefault="00BE4F07" w:rsidP="00BE4F07">
      <w:pPr>
        <w:pStyle w:val="Sansinterligne"/>
        <w:spacing w:line="360" w:lineRule="auto"/>
        <w:jc w:val="both"/>
      </w:pPr>
      <w:r>
        <w:tab/>
      </w:r>
      <w:r w:rsidRPr="00F35D55">
        <w:rPr>
          <w:u w:val="single"/>
        </w:rPr>
        <w:t>Éviter absolument</w:t>
      </w:r>
      <w:r>
        <w:t xml:space="preserve"> les feuilles de style, les puces, etc. qui compliquent la mise en page ultérieure. Les notes sont à disposer en numérotation continue en bas du texte principal de l’article.</w:t>
      </w:r>
    </w:p>
    <w:p w:rsidR="005E16C6" w:rsidRDefault="005E16C6" w:rsidP="005E16C6">
      <w:pPr>
        <w:pStyle w:val="Sansinterligne"/>
        <w:spacing w:line="360" w:lineRule="auto"/>
        <w:jc w:val="both"/>
      </w:pPr>
      <w:r>
        <w:tab/>
        <w:t>Les auteurs sont par ailleurs invités à se conformer aux consignes suivantes :</w:t>
      </w:r>
    </w:p>
    <w:p w:rsidR="005E16C6" w:rsidRDefault="005E16C6" w:rsidP="005E16C6">
      <w:pPr>
        <w:pStyle w:val="Sansinterligne"/>
        <w:spacing w:line="360" w:lineRule="auto"/>
        <w:jc w:val="both"/>
      </w:pPr>
    </w:p>
    <w:p w:rsidR="005E16C6" w:rsidRDefault="005E16C6" w:rsidP="00B67708">
      <w:pPr>
        <w:pStyle w:val="Sansinterligne"/>
        <w:spacing w:line="360" w:lineRule="auto"/>
        <w:jc w:val="both"/>
      </w:pPr>
      <w:r>
        <w:rPr>
          <w:b/>
        </w:rPr>
        <w:t>1</w:t>
      </w:r>
      <w:r w:rsidR="009C627F">
        <w:t xml:space="preserve">. </w:t>
      </w:r>
      <w:r w:rsidR="009C627F" w:rsidRPr="009C627F">
        <w:rPr>
          <w:smallCaps/>
        </w:rPr>
        <w:t>Bibliographie</w:t>
      </w:r>
      <w:r w:rsidR="009C627F">
        <w:t>.</w:t>
      </w:r>
      <w:r w:rsidR="00FB0E67">
        <w:t xml:space="preserve"> P</w:t>
      </w:r>
      <w:r>
        <w:t xml:space="preserve">our les ouvrages </w:t>
      </w:r>
      <w:r w:rsidR="003744C8">
        <w:t>critiques (mais non pour les sources primaires et les œuvres littéraires)</w:t>
      </w:r>
      <w:r>
        <w:t xml:space="preserve">, </w:t>
      </w:r>
      <w:r w:rsidR="00B67708">
        <w:t>donner la liste des ouvrages cités dans une bibliographie finale, sous la forme suivante :</w:t>
      </w:r>
    </w:p>
    <w:p w:rsidR="005E16C6" w:rsidRDefault="005E16C6" w:rsidP="005E16C6">
      <w:pPr>
        <w:pStyle w:val="Sansinterligne"/>
        <w:spacing w:line="360" w:lineRule="auto"/>
        <w:jc w:val="both"/>
      </w:pPr>
    </w:p>
    <w:p w:rsidR="005E16C6" w:rsidRDefault="005E16C6" w:rsidP="005E16C6">
      <w:pPr>
        <w:pStyle w:val="Sansinterligne"/>
        <w:spacing w:line="360" w:lineRule="auto"/>
        <w:ind w:firstLine="700"/>
        <w:jc w:val="both"/>
      </w:pPr>
      <w:r w:rsidRPr="00EA2ABE">
        <w:rPr>
          <w:u w:val="single"/>
        </w:rPr>
        <w:t>Monographies :</w:t>
      </w:r>
      <w:r>
        <w:t xml:space="preserve"> </w:t>
      </w:r>
      <w:r w:rsidR="002D4DA9">
        <w:rPr>
          <w:smallCaps/>
        </w:rPr>
        <w:t>Nom</w:t>
      </w:r>
      <w:r>
        <w:t>, prénom</w:t>
      </w:r>
      <w:r w:rsidR="001C53CC">
        <w:t>,</w:t>
      </w:r>
      <w:r>
        <w:t xml:space="preserve"> date, </w:t>
      </w:r>
      <w:r>
        <w:rPr>
          <w:i/>
        </w:rPr>
        <w:t>Titre</w:t>
      </w:r>
      <w:r>
        <w:t>, lieu d’édition</w:t>
      </w:r>
      <w:r w:rsidR="001C53CC">
        <w:t>, maison d’édition</w:t>
      </w:r>
      <w:r>
        <w:t>.</w:t>
      </w:r>
    </w:p>
    <w:p w:rsidR="005E16C6" w:rsidRPr="00296C2E" w:rsidRDefault="005E16C6" w:rsidP="005E16C6">
      <w:pPr>
        <w:pStyle w:val="Sansinterligne"/>
        <w:spacing w:line="360" w:lineRule="auto"/>
        <w:ind w:left="700"/>
        <w:jc w:val="both"/>
        <w:rPr>
          <w:sz w:val="20"/>
        </w:rPr>
      </w:pPr>
      <w:r w:rsidRPr="00296C2E">
        <w:rPr>
          <w:b/>
          <w:sz w:val="20"/>
        </w:rPr>
        <w:t>exemple </w:t>
      </w:r>
      <w:r w:rsidRPr="00296C2E">
        <w:rPr>
          <w:sz w:val="20"/>
        </w:rPr>
        <w:t xml:space="preserve">: </w:t>
      </w:r>
      <w:r w:rsidRPr="00296C2E">
        <w:rPr>
          <w:smallCaps/>
          <w:sz w:val="20"/>
        </w:rPr>
        <w:t>Riffaud</w:t>
      </w:r>
      <w:r w:rsidR="001C53CC">
        <w:rPr>
          <w:sz w:val="20"/>
        </w:rPr>
        <w:t>, Alain</w:t>
      </w:r>
      <w:r w:rsidRPr="00296C2E">
        <w:rPr>
          <w:sz w:val="20"/>
        </w:rPr>
        <w:t xml:space="preserve"> 2009, </w:t>
      </w:r>
      <w:r w:rsidRPr="00296C2E">
        <w:rPr>
          <w:i/>
          <w:sz w:val="20"/>
        </w:rPr>
        <w:t>Répertoire du théâtre français imprimé entre 1630 et 1660</w:t>
      </w:r>
      <w:r w:rsidRPr="00296C2E">
        <w:rPr>
          <w:sz w:val="20"/>
        </w:rPr>
        <w:t>, Genève</w:t>
      </w:r>
      <w:r w:rsidR="001C53CC">
        <w:rPr>
          <w:sz w:val="20"/>
        </w:rPr>
        <w:t>, Droz</w:t>
      </w:r>
      <w:r w:rsidRPr="00296C2E">
        <w:rPr>
          <w:sz w:val="20"/>
        </w:rPr>
        <w:t>.</w:t>
      </w:r>
    </w:p>
    <w:p w:rsidR="005E16C6" w:rsidRPr="00CD51E2" w:rsidRDefault="005E16C6" w:rsidP="005E16C6">
      <w:pPr>
        <w:pStyle w:val="Sansinterligne"/>
        <w:spacing w:line="360" w:lineRule="auto"/>
        <w:ind w:left="700"/>
        <w:jc w:val="both"/>
      </w:pPr>
      <w:r w:rsidRPr="00EA2ABE">
        <w:rPr>
          <w:u w:val="single"/>
        </w:rPr>
        <w:t>Articles de périodiques :</w:t>
      </w:r>
      <w:r>
        <w:t xml:space="preserve"> </w:t>
      </w:r>
      <w:r w:rsidR="002D4DA9">
        <w:rPr>
          <w:smallCaps/>
        </w:rPr>
        <w:t>Nom</w:t>
      </w:r>
      <w:r>
        <w:t xml:space="preserve">, prénom date, « titre de l’article », </w:t>
      </w:r>
      <w:r>
        <w:rPr>
          <w:i/>
        </w:rPr>
        <w:t xml:space="preserve">Nom de la revue </w:t>
      </w:r>
      <w:r w:rsidR="00D90A10">
        <w:t>n</w:t>
      </w:r>
      <w:r w:rsidR="00D90A10">
        <w:rPr>
          <w:vertAlign w:val="superscript"/>
        </w:rPr>
        <w:t>o</w:t>
      </w:r>
      <w:r>
        <w:t>, p. 00-00.</w:t>
      </w:r>
    </w:p>
    <w:p w:rsidR="005E16C6" w:rsidRDefault="005E16C6" w:rsidP="005E16C6">
      <w:pPr>
        <w:pStyle w:val="Sansinterligne"/>
        <w:spacing w:line="360" w:lineRule="auto"/>
        <w:ind w:left="700"/>
        <w:jc w:val="both"/>
        <w:rPr>
          <w:sz w:val="20"/>
        </w:rPr>
      </w:pPr>
      <w:r w:rsidRPr="00296C2E">
        <w:rPr>
          <w:b/>
          <w:sz w:val="20"/>
        </w:rPr>
        <w:t>exemple </w:t>
      </w:r>
      <w:r w:rsidRPr="00296C2E">
        <w:rPr>
          <w:sz w:val="20"/>
        </w:rPr>
        <w:t xml:space="preserve">: </w:t>
      </w:r>
      <w:r w:rsidRPr="00296C2E">
        <w:rPr>
          <w:smallCaps/>
          <w:sz w:val="20"/>
        </w:rPr>
        <w:t>Grenet-Delisle</w:t>
      </w:r>
      <w:r w:rsidR="009600F5">
        <w:rPr>
          <w:sz w:val="20"/>
        </w:rPr>
        <w:t>, Claude</w:t>
      </w:r>
      <w:r w:rsidRPr="00296C2E">
        <w:rPr>
          <w:sz w:val="20"/>
        </w:rPr>
        <w:t xml:space="preserve"> 2010, « Un cartographe en Guyenne : Claude Masse (1652-1737</w:t>
      </w:r>
      <w:r>
        <w:rPr>
          <w:sz w:val="20"/>
        </w:rPr>
        <w:t>)</w:t>
      </w:r>
      <w:r w:rsidRPr="00296C2E">
        <w:rPr>
          <w:sz w:val="20"/>
        </w:rPr>
        <w:t xml:space="preserve"> », </w:t>
      </w:r>
      <w:r w:rsidRPr="00296C2E">
        <w:rPr>
          <w:i/>
          <w:sz w:val="20"/>
        </w:rPr>
        <w:t>Revue française d’histoire du livre</w:t>
      </w:r>
      <w:r w:rsidRPr="00296C2E">
        <w:rPr>
          <w:sz w:val="20"/>
        </w:rPr>
        <w:t xml:space="preserve"> 131, p. 71-102.</w:t>
      </w:r>
    </w:p>
    <w:p w:rsidR="00D4633A" w:rsidRPr="00D4633A" w:rsidRDefault="00D4633A" w:rsidP="005E16C6">
      <w:pPr>
        <w:pStyle w:val="Sansinterligne"/>
        <w:spacing w:line="360" w:lineRule="auto"/>
        <w:ind w:left="700"/>
        <w:jc w:val="both"/>
        <w:rPr>
          <w:u w:val="single"/>
        </w:rPr>
      </w:pPr>
      <w:r>
        <w:rPr>
          <w:u w:val="single"/>
        </w:rPr>
        <w:t>Articles extraits d’ouvrage collectif :</w:t>
      </w:r>
      <w:r w:rsidRPr="00D4633A">
        <w:rPr>
          <w:smallCaps/>
        </w:rPr>
        <w:t xml:space="preserve"> </w:t>
      </w:r>
      <w:r w:rsidR="002D4DA9">
        <w:rPr>
          <w:smallCaps/>
        </w:rPr>
        <w:t>Nom</w:t>
      </w:r>
      <w:r>
        <w:t xml:space="preserve">, prénom date, « titre de l’article », </w:t>
      </w:r>
      <w:r w:rsidR="00411099">
        <w:t xml:space="preserve">dans </w:t>
      </w:r>
      <w:r>
        <w:rPr>
          <w:i/>
        </w:rPr>
        <w:t xml:space="preserve">Nom </w:t>
      </w:r>
      <w:r w:rsidR="00411099">
        <w:rPr>
          <w:i/>
        </w:rPr>
        <w:t>du recueil</w:t>
      </w:r>
      <w:r w:rsidR="00411099">
        <w:t xml:space="preserve">, dir. </w:t>
      </w:r>
      <w:r w:rsidR="00771798">
        <w:t xml:space="preserve">prénom </w:t>
      </w:r>
      <w:r w:rsidR="00411099">
        <w:t>nom du</w:t>
      </w:r>
      <w:r w:rsidR="00771798">
        <w:t>/des</w:t>
      </w:r>
      <w:r w:rsidR="00411099">
        <w:t xml:space="preserve"> directeur</w:t>
      </w:r>
      <w:r w:rsidR="00771798">
        <w:t>(s)</w:t>
      </w:r>
      <w:r w:rsidR="00411099">
        <w:t>, lieu d’édition, maison d’édition,</w:t>
      </w:r>
      <w:r>
        <w:t xml:space="preserve"> p. 00-00.</w:t>
      </w:r>
    </w:p>
    <w:p w:rsidR="00822616" w:rsidRPr="00E86566" w:rsidRDefault="000F621A" w:rsidP="005E16C6">
      <w:pPr>
        <w:pStyle w:val="Sansinterligne"/>
        <w:spacing w:line="360" w:lineRule="auto"/>
        <w:ind w:left="700"/>
        <w:jc w:val="both"/>
        <w:rPr>
          <w:sz w:val="20"/>
        </w:rPr>
      </w:pPr>
      <w:r w:rsidRPr="00E86566">
        <w:rPr>
          <w:b/>
          <w:sz w:val="20"/>
        </w:rPr>
        <w:t>exemple</w:t>
      </w:r>
      <w:r w:rsidR="00650920" w:rsidRPr="00E86566">
        <w:rPr>
          <w:b/>
          <w:sz w:val="20"/>
        </w:rPr>
        <w:t> </w:t>
      </w:r>
      <w:r w:rsidR="00650920" w:rsidRPr="00E86566">
        <w:rPr>
          <w:sz w:val="20"/>
        </w:rPr>
        <w:t xml:space="preserve">: </w:t>
      </w:r>
      <w:r w:rsidR="00E86566" w:rsidRPr="00E86566">
        <w:rPr>
          <w:rFonts w:eastAsia="Cambria" w:cs="Times New Roman"/>
          <w:sz w:val="20"/>
        </w:rPr>
        <w:t>V</w:t>
      </w:r>
      <w:r w:rsidR="00E86566" w:rsidRPr="00E86566">
        <w:rPr>
          <w:rFonts w:eastAsia="Cambria" w:cs="Times New Roman"/>
          <w:smallCaps/>
          <w:sz w:val="20"/>
        </w:rPr>
        <w:t xml:space="preserve">arry, </w:t>
      </w:r>
      <w:r w:rsidR="00E86566" w:rsidRPr="002D4DA9">
        <w:rPr>
          <w:rFonts w:eastAsia="Cambria" w:cs="Times New Roman"/>
          <w:sz w:val="20"/>
        </w:rPr>
        <w:t>D</w:t>
      </w:r>
      <w:r w:rsidR="00293BF2" w:rsidRPr="002D4DA9">
        <w:rPr>
          <w:rFonts w:eastAsia="Cambria" w:cs="Times New Roman"/>
          <w:sz w:val="20"/>
        </w:rPr>
        <w:t>ominique</w:t>
      </w:r>
      <w:r w:rsidR="00E86566" w:rsidRPr="00293BF2">
        <w:rPr>
          <w:rFonts w:eastAsia="Cambria" w:cs="Times New Roman"/>
          <w:sz w:val="20"/>
        </w:rPr>
        <w:t xml:space="preserve"> 2005, « Le </w:t>
      </w:r>
      <w:r w:rsidR="00E86566" w:rsidRPr="00293BF2">
        <w:rPr>
          <w:rFonts w:eastAsia="Cambria" w:cs="Times New Roman"/>
          <w:i/>
          <w:sz w:val="20"/>
        </w:rPr>
        <w:t xml:space="preserve">Traité de la lecture chrétienne </w:t>
      </w:r>
      <w:r w:rsidR="00E86566" w:rsidRPr="00293BF2">
        <w:rPr>
          <w:rFonts w:eastAsia="Cambria" w:cs="Times New Roman"/>
          <w:sz w:val="20"/>
        </w:rPr>
        <w:t xml:space="preserve">de Dom Nicolas Jamin », dans </w:t>
      </w:r>
      <w:r w:rsidR="00E86566" w:rsidRPr="00293BF2">
        <w:rPr>
          <w:rFonts w:eastAsia="Cambria" w:cs="Times New Roman"/>
          <w:i/>
          <w:sz w:val="20"/>
        </w:rPr>
        <w:t>Sacralités, culture et dévotion</w:t>
      </w:r>
      <w:r w:rsidR="00293BF2" w:rsidRPr="00293BF2">
        <w:rPr>
          <w:rFonts w:eastAsia="Cambria" w:cs="Times New Roman"/>
          <w:sz w:val="20"/>
        </w:rPr>
        <w:t>, dir. Marc Venard et Dominique</w:t>
      </w:r>
      <w:r w:rsidR="00E86566" w:rsidRPr="00293BF2">
        <w:rPr>
          <w:rFonts w:eastAsia="Cambria" w:cs="Times New Roman"/>
          <w:sz w:val="20"/>
        </w:rPr>
        <w:t xml:space="preserve"> Julia, Marseille</w:t>
      </w:r>
      <w:r w:rsidR="00E86566" w:rsidRPr="00E86566">
        <w:rPr>
          <w:rFonts w:eastAsia="Cambria" w:cs="Times New Roman"/>
          <w:sz w:val="20"/>
        </w:rPr>
        <w:t xml:space="preserve">, </w:t>
      </w:r>
      <w:r w:rsidR="00293BF2">
        <w:rPr>
          <w:rFonts w:eastAsia="Cambria" w:cs="Times New Roman"/>
          <w:sz w:val="20"/>
        </w:rPr>
        <w:t xml:space="preserve">La Thune, </w:t>
      </w:r>
      <w:r w:rsidR="00E86566" w:rsidRPr="00E86566">
        <w:rPr>
          <w:rFonts w:eastAsia="Cambria" w:cs="Times New Roman"/>
          <w:sz w:val="20"/>
        </w:rPr>
        <w:t>p. 299-308.</w:t>
      </w:r>
    </w:p>
    <w:p w:rsidR="006207D7" w:rsidRDefault="006207D7" w:rsidP="005E16C6">
      <w:pPr>
        <w:pStyle w:val="Sansinterligne"/>
        <w:spacing w:line="360" w:lineRule="auto"/>
        <w:jc w:val="both"/>
      </w:pPr>
    </w:p>
    <w:p w:rsidR="006207D7" w:rsidRDefault="006207D7" w:rsidP="005E16C6">
      <w:pPr>
        <w:pStyle w:val="Sansinterligne"/>
        <w:spacing w:line="360" w:lineRule="auto"/>
        <w:jc w:val="both"/>
      </w:pPr>
      <w:r>
        <w:tab/>
        <w:t xml:space="preserve">Dans les notes de bas de page, on citera simplement le nom et la date de l’article, qui seront développés dans la bibliographie finale (ainsi : A. </w:t>
      </w:r>
      <w:r w:rsidRPr="006207D7">
        <w:rPr>
          <w:smallCaps/>
        </w:rPr>
        <w:t>Riffaud</w:t>
      </w:r>
      <w:r>
        <w:t xml:space="preserve"> 2009 ; Cl. </w:t>
      </w:r>
      <w:r w:rsidRPr="006207D7">
        <w:rPr>
          <w:smallCaps/>
        </w:rPr>
        <w:t>Grenet-Delisle</w:t>
      </w:r>
      <w:r>
        <w:t xml:space="preserve"> 2010 ; D. </w:t>
      </w:r>
      <w:r w:rsidRPr="006207D7">
        <w:rPr>
          <w:smallCaps/>
        </w:rPr>
        <w:t>Varry</w:t>
      </w:r>
      <w:r>
        <w:t xml:space="preserve"> 2005). </w:t>
      </w:r>
    </w:p>
    <w:p w:rsidR="005E16C6" w:rsidRDefault="005E16C6" w:rsidP="005E16C6">
      <w:pPr>
        <w:pStyle w:val="Sansinterligne"/>
        <w:spacing w:line="360" w:lineRule="auto"/>
        <w:jc w:val="both"/>
      </w:pPr>
    </w:p>
    <w:p w:rsidR="005E16C6" w:rsidRDefault="005E16C6" w:rsidP="005E16C6">
      <w:pPr>
        <w:pStyle w:val="Sansinterligne"/>
        <w:spacing w:line="360" w:lineRule="auto"/>
        <w:jc w:val="both"/>
      </w:pPr>
      <w:r>
        <w:rPr>
          <w:b/>
        </w:rPr>
        <w:t>2</w:t>
      </w:r>
      <w:r>
        <w:t xml:space="preserve">. </w:t>
      </w:r>
      <w:r w:rsidRPr="00FB0E67">
        <w:rPr>
          <w:smallCaps/>
        </w:rPr>
        <w:t>Abréviations et types de caractères</w:t>
      </w:r>
      <w:r w:rsidR="00FB0E67">
        <w:rPr>
          <w:smallCaps/>
        </w:rPr>
        <w:t>. E</w:t>
      </w:r>
      <w:r>
        <w:t>mployer les italiques pour les abréviations et les termes venant du latin (</w:t>
      </w:r>
      <w:r>
        <w:rPr>
          <w:i/>
        </w:rPr>
        <w:t>supra </w:t>
      </w:r>
      <w:r>
        <w:t xml:space="preserve">; </w:t>
      </w:r>
      <w:r>
        <w:rPr>
          <w:i/>
        </w:rPr>
        <w:t>passim</w:t>
      </w:r>
      <w:r w:rsidR="000B1605">
        <w:t>...), sauf</w:t>
      </w:r>
      <w:r w:rsidR="00D02074">
        <w:t> :</w:t>
      </w:r>
      <w:r w:rsidR="000B1605">
        <w:t xml:space="preserve"> </w:t>
      </w:r>
      <w:r w:rsidR="00E93555">
        <w:t>etc. ; cf.</w:t>
      </w:r>
    </w:p>
    <w:p w:rsidR="005E16C6" w:rsidRPr="003F29E5" w:rsidRDefault="005E16C6" w:rsidP="005E16C6">
      <w:pPr>
        <w:pStyle w:val="Sansinterligne"/>
        <w:spacing w:line="360" w:lineRule="auto"/>
        <w:jc w:val="both"/>
      </w:pPr>
      <w:r>
        <w:tab/>
        <w:t>pour les siècles, employer les petites capitales (</w:t>
      </w:r>
      <w:r>
        <w:rPr>
          <w:smallCaps/>
        </w:rPr>
        <w:t>xvii</w:t>
      </w:r>
      <w:r>
        <w:rPr>
          <w:vertAlign w:val="superscript"/>
        </w:rPr>
        <w:t>e</w:t>
      </w:r>
      <w:r>
        <w:t>, et non XVII</w:t>
      </w:r>
      <w:r>
        <w:rPr>
          <w:vertAlign w:val="superscript"/>
        </w:rPr>
        <w:t>e</w:t>
      </w:r>
      <w:r>
        <w:t>) ;</w:t>
      </w:r>
    </w:p>
    <w:p w:rsidR="005E16C6" w:rsidRDefault="005E16C6" w:rsidP="005E16C6">
      <w:pPr>
        <w:pStyle w:val="Sansinterligne"/>
        <w:spacing w:line="360" w:lineRule="auto"/>
        <w:ind w:firstLine="708"/>
        <w:jc w:val="both"/>
      </w:pPr>
      <w:r>
        <w:t>p. et non pp. ; l. et non ll. ; v. et non vv. (etc.) ;</w:t>
      </w:r>
    </w:p>
    <w:p w:rsidR="005E16C6" w:rsidRDefault="005E16C6" w:rsidP="005E16C6">
      <w:pPr>
        <w:pStyle w:val="Sansinterligne"/>
        <w:spacing w:line="360" w:lineRule="auto"/>
        <w:ind w:firstLine="708"/>
        <w:jc w:val="both"/>
      </w:pPr>
      <w:r>
        <w:t xml:space="preserve">accentuer les </w:t>
      </w:r>
      <w:r w:rsidR="004E3CF9">
        <w:t>majuscules</w:t>
      </w:r>
      <w:r>
        <w:t xml:space="preserve"> (État, Moyen Âge etc.).</w:t>
      </w:r>
    </w:p>
    <w:p w:rsidR="005E16C6" w:rsidRDefault="005E16C6" w:rsidP="005E16C6">
      <w:pPr>
        <w:pStyle w:val="Sansinterligne"/>
        <w:spacing w:line="360" w:lineRule="auto"/>
        <w:ind w:firstLine="708"/>
        <w:jc w:val="both"/>
      </w:pPr>
    </w:p>
    <w:p w:rsidR="00D6729B" w:rsidRDefault="005E16C6" w:rsidP="004A09A6">
      <w:pPr>
        <w:pStyle w:val="Sansinterligne"/>
        <w:spacing w:line="360" w:lineRule="auto"/>
        <w:jc w:val="both"/>
      </w:pPr>
      <w:r>
        <w:rPr>
          <w:b/>
        </w:rPr>
        <w:t>3</w:t>
      </w:r>
      <w:r>
        <w:t xml:space="preserve">. </w:t>
      </w:r>
      <w:r w:rsidRPr="004A09A6">
        <w:rPr>
          <w:smallCaps/>
        </w:rPr>
        <w:t>Citations</w:t>
      </w:r>
      <w:r w:rsidR="004A09A6">
        <w:rPr>
          <w:smallCaps/>
        </w:rPr>
        <w:t xml:space="preserve">. </w:t>
      </w:r>
      <w:r>
        <w:t xml:space="preserve">Elles seront placées « entre guillemets français » (« ... » et non “...”). </w:t>
      </w:r>
    </w:p>
    <w:p w:rsidR="005E16C6" w:rsidRPr="00436A32" w:rsidRDefault="00D6729B" w:rsidP="00D6729B">
      <w:pPr>
        <w:pStyle w:val="Sansinterligne"/>
        <w:spacing w:line="360" w:lineRule="auto"/>
        <w:jc w:val="both"/>
      </w:pPr>
      <w:r>
        <w:tab/>
        <w:t>Indiquer précisément les pages auxquelles on se réfère (p. 100-103, et non p. 100-sq).</w:t>
      </w:r>
    </w:p>
    <w:p w:rsidR="005E16C6" w:rsidRDefault="005E16C6" w:rsidP="005E16C6">
      <w:pPr>
        <w:pStyle w:val="Sansinterligne"/>
        <w:spacing w:line="360" w:lineRule="auto"/>
        <w:ind w:firstLine="708"/>
        <w:jc w:val="both"/>
      </w:pPr>
    </w:p>
    <w:p w:rsidR="005E16C6" w:rsidRDefault="005E16C6" w:rsidP="005E16C6">
      <w:pPr>
        <w:pStyle w:val="Sansinterligne"/>
        <w:spacing w:line="360" w:lineRule="auto"/>
        <w:jc w:val="both"/>
      </w:pPr>
      <w:r>
        <w:rPr>
          <w:b/>
        </w:rPr>
        <w:t>4</w:t>
      </w:r>
      <w:r w:rsidR="0013409F">
        <w:t xml:space="preserve">. </w:t>
      </w:r>
      <w:r w:rsidR="0013409F" w:rsidRPr="0013409F">
        <w:rPr>
          <w:smallCaps/>
        </w:rPr>
        <w:t>Publication</w:t>
      </w:r>
      <w:r w:rsidR="0013409F">
        <w:t>. A</w:t>
      </w:r>
      <w:r>
        <w:t>près l’avoir soumis à l’avis d’un ou plusieurs expert(s) dans le domaine visé, la direction de la revue pourra éventuellement inviter l’auteur à modifier tel ou tel passage de son article. Une fois ces corrections faites et le manuscrit définitif renvoyé, la revue adressera à l’auteur un jeu d’épreuves, qu’il pourra revoir pendant quinze jours.</w:t>
      </w:r>
    </w:p>
    <w:p w:rsidR="005E16C6" w:rsidRDefault="005E16C6" w:rsidP="005E16C6">
      <w:pPr>
        <w:pStyle w:val="Sansinterligne"/>
        <w:spacing w:line="360" w:lineRule="auto"/>
        <w:jc w:val="both"/>
      </w:pPr>
      <w:r>
        <w:tab/>
        <w:t>Les articles envoyés à la revue sous forme définitive (après révision du manuscrit) avant le 20 juin seront publiés, dans la mesure du possible, dans la livraison de l’année paraissant en décembre, ou, si le sommaire de celle-ci est déjà complet, dans la livraison de l’année suivante.</w:t>
      </w:r>
    </w:p>
    <w:p w:rsidR="00FB020F" w:rsidRDefault="005E16C6" w:rsidP="005E16C6">
      <w:r>
        <w:tab/>
        <w:t>Les auteurs recevront chacun gratuitement 15 tirés à part de leur contribution.</w:t>
      </w:r>
    </w:p>
    <w:sectPr w:rsidR="00FB020F" w:rsidSect="00FB020F">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5" w:rsidRDefault="004F7E5B" w:rsidP="00365D54">
    <w:pPr>
      <w:pStyle w:val="Pieddepage"/>
      <w:framePr w:wrap="around" w:vAnchor="text" w:hAnchor="margin" w:xAlign="center" w:y="1"/>
      <w:rPr>
        <w:rStyle w:val="Numrodepage"/>
      </w:rPr>
    </w:pPr>
    <w:r>
      <w:rPr>
        <w:rStyle w:val="Numrodepage"/>
      </w:rPr>
      <w:fldChar w:fldCharType="begin"/>
    </w:r>
    <w:r w:rsidR="00280515">
      <w:rPr>
        <w:rStyle w:val="Numrodepage"/>
      </w:rPr>
      <w:instrText xml:space="preserve">PAGE  </w:instrText>
    </w:r>
    <w:r>
      <w:rPr>
        <w:rStyle w:val="Numrodepage"/>
      </w:rPr>
      <w:fldChar w:fldCharType="end"/>
    </w:r>
  </w:p>
  <w:p w:rsidR="00280515" w:rsidRDefault="00280515">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15" w:rsidRDefault="004F7E5B" w:rsidP="00365D54">
    <w:pPr>
      <w:pStyle w:val="Pieddepage"/>
      <w:framePr w:wrap="around" w:vAnchor="text" w:hAnchor="margin" w:xAlign="center" w:y="1"/>
      <w:rPr>
        <w:rStyle w:val="Numrodepage"/>
      </w:rPr>
    </w:pPr>
    <w:r>
      <w:rPr>
        <w:rStyle w:val="Numrodepage"/>
      </w:rPr>
      <w:fldChar w:fldCharType="begin"/>
    </w:r>
    <w:r w:rsidR="00280515">
      <w:rPr>
        <w:rStyle w:val="Numrodepage"/>
      </w:rPr>
      <w:instrText xml:space="preserve">PAGE  </w:instrText>
    </w:r>
    <w:r>
      <w:rPr>
        <w:rStyle w:val="Numrodepage"/>
      </w:rPr>
      <w:fldChar w:fldCharType="separate"/>
    </w:r>
    <w:r w:rsidR="004E3CF9">
      <w:rPr>
        <w:rStyle w:val="Numrodepage"/>
        <w:noProof/>
      </w:rPr>
      <w:t>2</w:t>
    </w:r>
    <w:r>
      <w:rPr>
        <w:rStyle w:val="Numrodepage"/>
      </w:rPr>
      <w:fldChar w:fldCharType="end"/>
    </w:r>
  </w:p>
  <w:p w:rsidR="00280515" w:rsidRDefault="00280515">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16C6"/>
    <w:rsid w:val="000B1605"/>
    <w:rsid w:val="000F621A"/>
    <w:rsid w:val="0013409F"/>
    <w:rsid w:val="001B7D61"/>
    <w:rsid w:val="001C53CC"/>
    <w:rsid w:val="00280515"/>
    <w:rsid w:val="00293BF2"/>
    <w:rsid w:val="002D4DA9"/>
    <w:rsid w:val="003744C8"/>
    <w:rsid w:val="00411099"/>
    <w:rsid w:val="00447067"/>
    <w:rsid w:val="004A09A6"/>
    <w:rsid w:val="004E3CF9"/>
    <w:rsid w:val="004F7E5B"/>
    <w:rsid w:val="00590026"/>
    <w:rsid w:val="005B16D3"/>
    <w:rsid w:val="005E16C6"/>
    <w:rsid w:val="006207D7"/>
    <w:rsid w:val="00650920"/>
    <w:rsid w:val="0072077F"/>
    <w:rsid w:val="00771798"/>
    <w:rsid w:val="00822616"/>
    <w:rsid w:val="008950BC"/>
    <w:rsid w:val="008A3D3E"/>
    <w:rsid w:val="009600F5"/>
    <w:rsid w:val="009C627F"/>
    <w:rsid w:val="00A87808"/>
    <w:rsid w:val="00AB3664"/>
    <w:rsid w:val="00B67708"/>
    <w:rsid w:val="00BE4F07"/>
    <w:rsid w:val="00C2368E"/>
    <w:rsid w:val="00C649CD"/>
    <w:rsid w:val="00D02074"/>
    <w:rsid w:val="00D4633A"/>
    <w:rsid w:val="00D6729B"/>
    <w:rsid w:val="00D90A10"/>
    <w:rsid w:val="00E86566"/>
    <w:rsid w:val="00E93555"/>
    <w:rsid w:val="00F35D55"/>
    <w:rsid w:val="00FB0E67"/>
    <w:rsid w:val="00FB14E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5E16C6"/>
    <w:rPr>
      <w:rFonts w:ascii="Times New Roman" w:eastAsia="Cambria" w:hAnsi="Times New Roman"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41401A"/>
    <w:pPr>
      <w:spacing w:after="0"/>
    </w:pPr>
    <w:rPr>
      <w:rFonts w:ascii="Times New Roman" w:hAnsi="Times New Roman"/>
    </w:rPr>
  </w:style>
  <w:style w:type="character" w:styleId="Lienhypertexte">
    <w:name w:val="Hyperlink"/>
    <w:basedOn w:val="Policepardfaut"/>
    <w:uiPriority w:val="99"/>
    <w:semiHidden/>
    <w:unhideWhenUsed/>
    <w:rsid w:val="005E16C6"/>
    <w:rPr>
      <w:color w:val="0000FF"/>
      <w:u w:val="single"/>
    </w:rPr>
  </w:style>
  <w:style w:type="character" w:customStyle="1" w:styleId="Caractresdenotedebasdepage">
    <w:name w:val="Caractères de note de bas de page"/>
    <w:basedOn w:val="Policepardfaut"/>
    <w:rsid w:val="005E16C6"/>
  </w:style>
  <w:style w:type="character" w:styleId="Marquenotebasdepage">
    <w:name w:val="footnote reference"/>
    <w:rsid w:val="005E16C6"/>
    <w:rPr>
      <w:vertAlign w:val="superscript"/>
    </w:rPr>
  </w:style>
  <w:style w:type="paragraph" w:styleId="Notedebasdepage">
    <w:name w:val="footnote text"/>
    <w:basedOn w:val="Normal"/>
    <w:link w:val="NotedebasdepageCar"/>
    <w:rsid w:val="005E16C6"/>
    <w:pPr>
      <w:suppressAutoHyphens/>
      <w:overflowPunct w:val="0"/>
      <w:autoSpaceDE w:val="0"/>
      <w:spacing w:after="0"/>
      <w:textAlignment w:val="baseline"/>
    </w:pPr>
    <w:rPr>
      <w:rFonts w:eastAsia="Times New Roman"/>
      <w:sz w:val="20"/>
      <w:szCs w:val="20"/>
      <w:lang w:eastAsia="ar-SA"/>
    </w:rPr>
  </w:style>
  <w:style w:type="character" w:customStyle="1" w:styleId="NotedebasdepageCar">
    <w:name w:val="Note de bas de page Car"/>
    <w:basedOn w:val="Policepardfaut"/>
    <w:link w:val="Notedebasdepage"/>
    <w:rsid w:val="005E16C6"/>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semiHidden/>
    <w:unhideWhenUsed/>
    <w:rsid w:val="00280515"/>
    <w:pPr>
      <w:tabs>
        <w:tab w:val="center" w:pos="4536"/>
        <w:tab w:val="right" w:pos="9072"/>
      </w:tabs>
      <w:spacing w:after="0"/>
    </w:pPr>
  </w:style>
  <w:style w:type="character" w:customStyle="1" w:styleId="PieddepageCar">
    <w:name w:val="Pied de page Car"/>
    <w:basedOn w:val="Policepardfaut"/>
    <w:link w:val="Pieddepage"/>
    <w:uiPriority w:val="99"/>
    <w:semiHidden/>
    <w:rsid w:val="00280515"/>
    <w:rPr>
      <w:rFonts w:ascii="Times New Roman" w:eastAsia="Cambria" w:hAnsi="Times New Roman" w:cs="Times New Roman"/>
    </w:rPr>
  </w:style>
  <w:style w:type="character" w:styleId="Numrodepage">
    <w:name w:val="page number"/>
    <w:basedOn w:val="Policepardfaut"/>
    <w:uiPriority w:val="99"/>
    <w:semiHidden/>
    <w:unhideWhenUsed/>
    <w:rsid w:val="0028051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mailto:gflameriedel@u-bordeaux3.fr" TargetMode="Externa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519</Words>
  <Characters>2963</Characters>
  <Application>Microsoft Macintosh Word</Application>
  <DocSecurity>0</DocSecurity>
  <Lines>24</Lines>
  <Paragraphs>5</Paragraphs>
  <ScaleCrop>false</ScaleCrop>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40</cp:revision>
  <dcterms:created xsi:type="dcterms:W3CDTF">2012-07-30T09:33:00Z</dcterms:created>
  <dcterms:modified xsi:type="dcterms:W3CDTF">2012-08-06T11:34:00Z</dcterms:modified>
</cp:coreProperties>
</file>