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DCE" w:rsidRPr="004065FB" w:rsidRDefault="00F45DCE" w:rsidP="00E62B11">
      <w:pPr>
        <w:jc w:val="both"/>
        <w:rPr>
          <w:rFonts w:ascii="Baskerville" w:hAnsi="Baskerville"/>
          <w:sz w:val="28"/>
        </w:rPr>
      </w:pPr>
      <w:r w:rsidRPr="004065FB">
        <w:rPr>
          <w:rFonts w:ascii="Baskerville" w:hAnsi="Baskerville"/>
          <w:sz w:val="28"/>
        </w:rPr>
        <w:t>Éric Suire</w:t>
      </w:r>
    </w:p>
    <w:p w:rsidR="00F45DCE" w:rsidRPr="00530159" w:rsidRDefault="00F45DCE" w:rsidP="004065FB">
      <w:pPr>
        <w:ind w:firstLine="708"/>
        <w:jc w:val="both"/>
        <w:rPr>
          <w:rFonts w:ascii="Baskerville" w:hAnsi="Baskerville"/>
          <w:sz w:val="24"/>
        </w:rPr>
      </w:pPr>
      <w:r w:rsidRPr="00530159">
        <w:rPr>
          <w:rFonts w:ascii="Baskerville" w:hAnsi="Baskerville"/>
          <w:sz w:val="24"/>
        </w:rPr>
        <w:t>Des usages du livre hagiographique sous l’Ancien Régime</w:t>
      </w:r>
    </w:p>
    <w:p w:rsidR="0031524E" w:rsidRDefault="0031524E" w:rsidP="00E62B11">
      <w:pPr>
        <w:jc w:val="both"/>
        <w:rPr>
          <w:rFonts w:ascii="Baskerville" w:hAnsi="Baskerville"/>
          <w:sz w:val="24"/>
        </w:rPr>
      </w:pPr>
    </w:p>
    <w:p w:rsidR="00F45DCE" w:rsidRPr="00530159" w:rsidRDefault="00F45DCE" w:rsidP="00E62B11">
      <w:pPr>
        <w:jc w:val="both"/>
        <w:rPr>
          <w:rFonts w:ascii="Baskerville" w:hAnsi="Baskerville"/>
          <w:sz w:val="24"/>
        </w:rPr>
      </w:pPr>
    </w:p>
    <w:p w:rsidR="00F45DCE" w:rsidRPr="00530159" w:rsidRDefault="00F45DCE" w:rsidP="00E62B11">
      <w:pPr>
        <w:jc w:val="both"/>
        <w:rPr>
          <w:rFonts w:ascii="Baskerville" w:hAnsi="Baskerville"/>
          <w:sz w:val="22"/>
        </w:rPr>
      </w:pPr>
      <w:r w:rsidRPr="00530159">
        <w:rPr>
          <w:rFonts w:ascii="Baskerville" w:hAnsi="Baskerville"/>
          <w:smallCaps/>
          <w:sz w:val="22"/>
        </w:rPr>
        <w:t>Résumé</w:t>
      </w:r>
      <w:r w:rsidRPr="00530159">
        <w:rPr>
          <w:rFonts w:ascii="Baskerville" w:hAnsi="Baskerville"/>
          <w:sz w:val="22"/>
        </w:rPr>
        <w:t>. – Le retentissement de la production édifiante semble une évidence au « siècle des saints » ; or, on sait finalement peu de chose sur les manières de lire l’hagiographie. Trois types de lectures sont ici évoqués : les lectures « idéales » souhaitées par les auteurs, qui ont imposé le choix de certaines formules éditoriales ; les lectures « réelles », qu’il faut tenter de reconstituer sur la base d’éléments matériels épars, ou à partir des commentaires laissés par les milieux savants ; enfin, les usages « transgressifs » qui reflètent eux aussi, mais à leur manière, l’audience sociale des textes de spiritualité sous l’Ancien Régime.</w:t>
      </w:r>
    </w:p>
    <w:p w:rsidR="00F45DCE" w:rsidRPr="00530159" w:rsidRDefault="00F45DCE" w:rsidP="00E62B11">
      <w:pPr>
        <w:jc w:val="both"/>
        <w:rPr>
          <w:rFonts w:ascii="Baskerville" w:hAnsi="Baskerville"/>
          <w:sz w:val="22"/>
        </w:rPr>
      </w:pPr>
    </w:p>
    <w:p w:rsidR="00657923" w:rsidRPr="00530159" w:rsidRDefault="00F45DCE" w:rsidP="00E62B11">
      <w:pPr>
        <w:jc w:val="both"/>
        <w:rPr>
          <w:rFonts w:ascii="Baskerville" w:hAnsi="Baskerville"/>
        </w:rPr>
      </w:pPr>
      <w:r w:rsidRPr="00530159">
        <w:rPr>
          <w:rFonts w:ascii="Baskerville" w:hAnsi="Baskerville"/>
          <w:smallCaps/>
          <w:sz w:val="22"/>
        </w:rPr>
        <w:t>Abstract</w:t>
      </w:r>
      <w:r w:rsidRPr="00530159">
        <w:rPr>
          <w:rFonts w:ascii="Baskerville" w:hAnsi="Baskerville"/>
          <w:sz w:val="22"/>
        </w:rPr>
        <w:t xml:space="preserve">. – The echo of the edifying production seems to be obvious in the « century of the saints » ; however, we actually know few things about the ways of reading the hagiography. Three types of readings are described here : </w:t>
      </w:r>
      <w:r w:rsidRPr="00530159">
        <w:rPr>
          <w:rFonts w:ascii="Baskerville" w:hAnsi="Baskerville"/>
          <w:b/>
          <w:sz w:val="22"/>
        </w:rPr>
        <w:t>a</w:t>
      </w:r>
      <w:r w:rsidRPr="00530159">
        <w:rPr>
          <w:rFonts w:ascii="Baskerville" w:hAnsi="Baskerville"/>
          <w:sz w:val="22"/>
        </w:rPr>
        <w:t xml:space="preserve">) the « ideal » readings, which were wished by the authors, who imposed the choice of certain editorial options ; </w:t>
      </w:r>
      <w:r w:rsidRPr="00530159">
        <w:rPr>
          <w:rFonts w:ascii="Baskerville" w:hAnsi="Baskerville"/>
          <w:b/>
          <w:sz w:val="22"/>
        </w:rPr>
        <w:t>b</w:t>
      </w:r>
      <w:r w:rsidRPr="00530159">
        <w:rPr>
          <w:rFonts w:ascii="Baskerville" w:hAnsi="Baskerville"/>
          <w:sz w:val="22"/>
        </w:rPr>
        <w:t xml:space="preserve">) the « real » readings, which we have to reconstitute on the basis of scattered material elements, or on the basis of comments left by the learned circles ; </w:t>
      </w:r>
      <w:r w:rsidRPr="00530159">
        <w:rPr>
          <w:rFonts w:ascii="Baskerville" w:hAnsi="Baskerville"/>
          <w:b/>
          <w:sz w:val="22"/>
        </w:rPr>
        <w:t>c</w:t>
      </w:r>
      <w:r w:rsidRPr="00530159">
        <w:rPr>
          <w:rFonts w:ascii="Baskerville" w:hAnsi="Baskerville"/>
          <w:sz w:val="22"/>
        </w:rPr>
        <w:t>) the « transgressive » uses which reflect too, but in their way, the social audience of the texts of spirituality under the Ancien Régime.</w:t>
      </w:r>
    </w:p>
    <w:sectPr w:rsidR="00657923" w:rsidRPr="00530159" w:rsidSect="0065792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45DCE"/>
    <w:rsid w:val="0031524E"/>
    <w:rsid w:val="004065FB"/>
    <w:rsid w:val="00504AA9"/>
    <w:rsid w:val="00530159"/>
    <w:rsid w:val="00C03415"/>
    <w:rsid w:val="00E62B11"/>
    <w:rsid w:val="00F07AA8"/>
    <w:rsid w:val="00F45DCE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DCE"/>
    <w:pPr>
      <w:suppressAutoHyphens/>
      <w:overflowPunct w:val="0"/>
      <w:autoSpaceDE w:val="0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Macintosh Word</Application>
  <DocSecurity>0</DocSecurity>
  <Lines>9</Lines>
  <Paragraphs>2</Paragraphs>
  <ScaleCrop>false</ScaleCrop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Flamerie</dc:creator>
  <cp:keywords/>
  <cp:lastModifiedBy>Guillaume Flamerie</cp:lastModifiedBy>
  <cp:revision>5</cp:revision>
  <dcterms:created xsi:type="dcterms:W3CDTF">2012-10-31T22:52:00Z</dcterms:created>
  <dcterms:modified xsi:type="dcterms:W3CDTF">2012-10-31T23:11:00Z</dcterms:modified>
</cp:coreProperties>
</file>